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2D6" w:rsidRDefault="002C02D6" w:rsidP="002C02D6">
      <w:pPr>
        <w:pStyle w:val="Standard"/>
        <w:spacing w:line="460" w:lineRule="exact"/>
        <w:jc w:val="center"/>
        <w:rPr>
          <w:rFonts w:ascii="標楷體" w:eastAsia="標楷體" w:hAnsi="標楷體" w:cs="Arial"/>
          <w:sz w:val="32"/>
          <w:szCs w:val="28"/>
        </w:rPr>
      </w:pPr>
      <w:r>
        <w:rPr>
          <w:rFonts w:ascii="標楷體" w:eastAsia="標楷體" w:hAnsi="標楷體" w:cs="Arial"/>
          <w:sz w:val="32"/>
          <w:szCs w:val="28"/>
        </w:rPr>
        <w:t>高級中等以上學校學生</w:t>
      </w:r>
      <w:bookmarkStart w:id="0" w:name="_GoBack"/>
      <w:r>
        <w:rPr>
          <w:rFonts w:ascii="標楷體" w:eastAsia="標楷體" w:hAnsi="標楷體" w:cs="Arial"/>
          <w:sz w:val="32"/>
          <w:szCs w:val="28"/>
        </w:rPr>
        <w:t>就學貸款作業要點第十二點、第十八點</w:t>
      </w:r>
    </w:p>
    <w:p w:rsidR="002C02D6" w:rsidRDefault="002C02D6" w:rsidP="002C02D6">
      <w:pPr>
        <w:pStyle w:val="Standard"/>
        <w:spacing w:line="460" w:lineRule="exact"/>
        <w:jc w:val="center"/>
        <w:rPr>
          <w:rFonts w:ascii="標楷體" w:eastAsia="標楷體" w:hAnsi="標楷體" w:cs="Arial"/>
          <w:sz w:val="32"/>
          <w:szCs w:val="28"/>
        </w:rPr>
      </w:pPr>
      <w:r>
        <w:rPr>
          <w:rFonts w:ascii="標楷體" w:eastAsia="標楷體" w:hAnsi="標楷體" w:cs="Arial"/>
          <w:sz w:val="32"/>
          <w:szCs w:val="28"/>
        </w:rPr>
        <w:t>修正規定</w:t>
      </w:r>
      <w:bookmarkEnd w:id="0"/>
    </w:p>
    <w:p w:rsidR="002C02D6" w:rsidRDefault="002C02D6" w:rsidP="002C02D6">
      <w:pPr>
        <w:pStyle w:val="Standard"/>
        <w:spacing w:line="500" w:lineRule="exact"/>
        <w:ind w:left="871" w:hanging="871"/>
        <w:jc w:val="both"/>
        <w:rPr>
          <w:rFonts w:ascii="Arial" w:eastAsia="標楷體" w:hAnsi="Arial" w:cs="Arial"/>
          <w:sz w:val="28"/>
          <w:szCs w:val="24"/>
        </w:rPr>
      </w:pPr>
      <w:r>
        <w:rPr>
          <w:rFonts w:ascii="Arial" w:eastAsia="標楷體" w:hAnsi="Arial" w:cs="Arial"/>
          <w:sz w:val="28"/>
          <w:szCs w:val="24"/>
        </w:rPr>
        <w:t>十二、本辦法第五條所列本貸款之金額範圍如下：</w:t>
      </w:r>
    </w:p>
    <w:p w:rsidR="002C02D6" w:rsidRDefault="002C02D6" w:rsidP="002C02D6">
      <w:pPr>
        <w:pStyle w:val="a3"/>
        <w:numPr>
          <w:ilvl w:val="0"/>
          <w:numId w:val="2"/>
        </w:numPr>
        <w:spacing w:line="500" w:lineRule="exact"/>
        <w:ind w:left="1092" w:hanging="595"/>
        <w:jc w:val="both"/>
        <w:rPr>
          <w:rFonts w:ascii="Arial" w:eastAsia="標楷體" w:hAnsi="Arial" w:cs="Arial"/>
          <w:sz w:val="28"/>
          <w:szCs w:val="24"/>
        </w:rPr>
      </w:pPr>
      <w:r>
        <w:rPr>
          <w:rFonts w:ascii="Arial" w:eastAsia="標楷體" w:hAnsi="Arial" w:cs="Arial"/>
          <w:sz w:val="28"/>
          <w:szCs w:val="24"/>
        </w:rPr>
        <w:t>學雜費：其金額為該學期實際繳納者。</w:t>
      </w:r>
    </w:p>
    <w:p w:rsidR="002C02D6" w:rsidRDefault="002C02D6" w:rsidP="002C02D6">
      <w:pPr>
        <w:pStyle w:val="a3"/>
        <w:numPr>
          <w:ilvl w:val="0"/>
          <w:numId w:val="1"/>
        </w:numPr>
        <w:spacing w:line="500" w:lineRule="exact"/>
        <w:ind w:left="1092" w:hanging="595"/>
        <w:jc w:val="both"/>
        <w:rPr>
          <w:rFonts w:ascii="Arial" w:eastAsia="標楷體" w:hAnsi="Arial" w:cs="Arial"/>
          <w:sz w:val="28"/>
          <w:szCs w:val="24"/>
        </w:rPr>
      </w:pPr>
      <w:r>
        <w:rPr>
          <w:rFonts w:ascii="Arial" w:eastAsia="標楷體" w:hAnsi="Arial" w:cs="Arial"/>
          <w:sz w:val="28"/>
          <w:szCs w:val="24"/>
        </w:rPr>
        <w:t>實習費：其金額為該學期實際繳納者。</w:t>
      </w:r>
    </w:p>
    <w:p w:rsidR="002C02D6" w:rsidRDefault="002C02D6" w:rsidP="002C02D6">
      <w:pPr>
        <w:pStyle w:val="a3"/>
        <w:numPr>
          <w:ilvl w:val="0"/>
          <w:numId w:val="1"/>
        </w:numPr>
        <w:spacing w:line="500" w:lineRule="exact"/>
        <w:ind w:left="1092" w:hanging="595"/>
        <w:jc w:val="both"/>
        <w:rPr>
          <w:rFonts w:ascii="Arial" w:eastAsia="標楷體" w:hAnsi="Arial" w:cs="Arial"/>
          <w:sz w:val="28"/>
          <w:szCs w:val="24"/>
        </w:rPr>
      </w:pPr>
      <w:r>
        <w:rPr>
          <w:rFonts w:ascii="Arial" w:eastAsia="標楷體" w:hAnsi="Arial" w:cs="Arial"/>
          <w:sz w:val="28"/>
          <w:szCs w:val="24"/>
        </w:rPr>
        <w:t>書籍費：高級中等學校為每生每學期新臺幣一千元；專科以上學校為每生每學期新臺幣三千元。</w:t>
      </w:r>
    </w:p>
    <w:p w:rsidR="002C02D6" w:rsidRDefault="002C02D6" w:rsidP="002C02D6">
      <w:pPr>
        <w:pStyle w:val="a3"/>
        <w:numPr>
          <w:ilvl w:val="0"/>
          <w:numId w:val="1"/>
        </w:numPr>
        <w:spacing w:line="500" w:lineRule="exact"/>
        <w:ind w:left="1092" w:hanging="595"/>
        <w:jc w:val="both"/>
        <w:rPr>
          <w:rFonts w:ascii="Arial" w:eastAsia="標楷體" w:hAnsi="Arial" w:cs="Arial"/>
          <w:sz w:val="28"/>
          <w:szCs w:val="24"/>
        </w:rPr>
      </w:pPr>
      <w:r>
        <w:rPr>
          <w:rFonts w:ascii="Arial" w:eastAsia="標楷體" w:hAnsi="Arial" w:cs="Arial"/>
          <w:sz w:val="28"/>
          <w:szCs w:val="24"/>
        </w:rPr>
        <w:t>住宿費：其金額為該校住校宿舍費，校外住宿學生申貸之住宿費，以該校住校宿舍費之最高者為基準。</w:t>
      </w:r>
    </w:p>
    <w:p w:rsidR="002C02D6" w:rsidRDefault="002C02D6" w:rsidP="002C02D6">
      <w:pPr>
        <w:pStyle w:val="a3"/>
        <w:numPr>
          <w:ilvl w:val="0"/>
          <w:numId w:val="1"/>
        </w:numPr>
        <w:spacing w:line="500" w:lineRule="exact"/>
        <w:ind w:left="1092" w:hanging="595"/>
        <w:jc w:val="both"/>
        <w:rPr>
          <w:rFonts w:ascii="Arial" w:eastAsia="標楷體" w:hAnsi="Arial" w:cs="Arial"/>
          <w:sz w:val="28"/>
          <w:szCs w:val="24"/>
        </w:rPr>
      </w:pPr>
      <w:r>
        <w:rPr>
          <w:rFonts w:ascii="Arial" w:eastAsia="標楷體" w:hAnsi="Arial" w:cs="Arial"/>
          <w:sz w:val="28"/>
          <w:szCs w:val="24"/>
        </w:rPr>
        <w:t>學生團體保險費：其金額為該學期實際繳納者。</w:t>
      </w:r>
    </w:p>
    <w:p w:rsidR="002C02D6" w:rsidRDefault="002C02D6" w:rsidP="002C02D6">
      <w:pPr>
        <w:pStyle w:val="a3"/>
        <w:numPr>
          <w:ilvl w:val="0"/>
          <w:numId w:val="1"/>
        </w:numPr>
        <w:spacing w:line="500" w:lineRule="exact"/>
        <w:ind w:left="1092" w:hanging="595"/>
        <w:jc w:val="both"/>
        <w:rPr>
          <w:rFonts w:ascii="Arial" w:eastAsia="標楷體" w:hAnsi="Arial" w:cs="Arial"/>
          <w:sz w:val="28"/>
          <w:szCs w:val="24"/>
        </w:rPr>
      </w:pPr>
      <w:r>
        <w:rPr>
          <w:rFonts w:ascii="Arial" w:eastAsia="標楷體" w:hAnsi="Arial" w:cs="Arial"/>
          <w:sz w:val="28"/>
          <w:szCs w:val="24"/>
        </w:rPr>
        <w:t>海外研修費：每生每年以新臺幣四十四萬元為上限。</w:t>
      </w:r>
    </w:p>
    <w:p w:rsidR="002C02D6" w:rsidRDefault="002C02D6" w:rsidP="002C02D6">
      <w:pPr>
        <w:pStyle w:val="a3"/>
        <w:numPr>
          <w:ilvl w:val="0"/>
          <w:numId w:val="1"/>
        </w:numPr>
        <w:spacing w:line="500" w:lineRule="exact"/>
        <w:ind w:left="1092" w:hanging="595"/>
        <w:jc w:val="both"/>
        <w:rPr>
          <w:rFonts w:ascii="Arial" w:eastAsia="標楷體" w:hAnsi="Arial" w:cs="Arial"/>
          <w:sz w:val="28"/>
          <w:szCs w:val="24"/>
        </w:rPr>
      </w:pPr>
      <w:r>
        <w:rPr>
          <w:rFonts w:ascii="Arial" w:eastAsia="標楷體" w:hAnsi="Arial" w:cs="Arial"/>
          <w:sz w:val="28"/>
          <w:szCs w:val="24"/>
        </w:rPr>
        <w:t>生活費：低收入戶學生或本部公告之受傳染病疫情影響者，每生每學期以新臺幣四萬元為上限；中低收入戶學生，每生每學期以新臺幣二萬元為上限。</w:t>
      </w:r>
    </w:p>
    <w:p w:rsidR="002C02D6" w:rsidRDefault="002C02D6" w:rsidP="002C02D6">
      <w:pPr>
        <w:pStyle w:val="a3"/>
        <w:numPr>
          <w:ilvl w:val="0"/>
          <w:numId w:val="1"/>
        </w:numPr>
        <w:spacing w:line="500" w:lineRule="exact"/>
        <w:ind w:left="1092" w:hanging="595"/>
        <w:jc w:val="both"/>
        <w:rPr>
          <w:rFonts w:ascii="Arial" w:eastAsia="標楷體" w:hAnsi="Arial" w:cs="Arial"/>
          <w:sz w:val="28"/>
          <w:szCs w:val="24"/>
        </w:rPr>
      </w:pPr>
      <w:r>
        <w:rPr>
          <w:rFonts w:ascii="Arial" w:eastAsia="標楷體" w:hAnsi="Arial" w:cs="Arial"/>
          <w:sz w:val="28"/>
          <w:szCs w:val="24"/>
        </w:rPr>
        <w:t>電腦及網路通訊使用費：該學期實際繳納者。</w:t>
      </w:r>
    </w:p>
    <w:p w:rsidR="002C02D6" w:rsidRDefault="002C02D6" w:rsidP="002C02D6">
      <w:pPr>
        <w:pStyle w:val="Standard"/>
        <w:spacing w:line="500" w:lineRule="exact"/>
        <w:ind w:left="848" w:right="-72" w:hanging="848"/>
        <w:jc w:val="both"/>
        <w:rPr>
          <w:rFonts w:ascii="標楷體" w:eastAsia="標楷體" w:hAnsi="標楷體" w:cs="Arial"/>
          <w:sz w:val="28"/>
          <w:szCs w:val="28"/>
        </w:rPr>
      </w:pPr>
      <w:r>
        <w:rPr>
          <w:rFonts w:ascii="標楷體" w:eastAsia="標楷體" w:hAnsi="標楷體" w:cs="Arial"/>
          <w:sz w:val="28"/>
          <w:szCs w:val="28"/>
        </w:rPr>
        <w:t>十八、學生於開始償還貸款之前一年度，平均每月所得未達新臺幣四萬元（前一年度如有就學或服義務兵役之緩繳期間不予列計）及為低收入戶或中低收入戶，得申請緩繳貸款本金（已逾應償還起算日或已開始還款者，應先償還逾期期間之已到期本息、違約金後，始得申請），最多以申請八次為限，每次申請緩繳期限為一年，貸款到期日並隨緩繳期限順延。其緩繳期間之利息，由各級主管機關負擔。</w:t>
      </w:r>
    </w:p>
    <w:p w:rsidR="002C02D6" w:rsidRDefault="002C02D6" w:rsidP="002C02D6">
      <w:pPr>
        <w:pStyle w:val="Standard"/>
        <w:spacing w:line="500" w:lineRule="exact"/>
        <w:ind w:left="840" w:right="-72" w:firstLine="577"/>
        <w:jc w:val="both"/>
        <w:rPr>
          <w:rFonts w:ascii="標楷體" w:eastAsia="標楷體" w:hAnsi="標楷體" w:cs="Arial"/>
          <w:sz w:val="28"/>
          <w:szCs w:val="28"/>
        </w:rPr>
      </w:pPr>
      <w:r>
        <w:rPr>
          <w:rFonts w:ascii="標楷體" w:eastAsia="標楷體" w:hAnsi="標楷體" w:cs="Arial"/>
          <w:sz w:val="28"/>
          <w:szCs w:val="28"/>
        </w:rPr>
        <w:t>依前項規定申請緩繳貸款本金八次者，得申請延長償還貸款期限，貸款一學期以一年六個月計，低收入戶或中低收入戶得以二年計。其利息由借款人自行負擔，各該主管機關酌予補貼利率百分之零點一。</w:t>
      </w:r>
    </w:p>
    <w:p w:rsidR="002C02D6" w:rsidRDefault="002C02D6" w:rsidP="002C02D6">
      <w:pPr>
        <w:pStyle w:val="Standard"/>
        <w:spacing w:line="500" w:lineRule="exact"/>
        <w:ind w:left="826" w:right="-72" w:firstLine="588"/>
        <w:jc w:val="both"/>
        <w:rPr>
          <w:rFonts w:ascii="標楷體" w:eastAsia="標楷體" w:hAnsi="標楷體" w:cs="Arial" w:hint="eastAsia"/>
          <w:sz w:val="28"/>
          <w:szCs w:val="28"/>
        </w:rPr>
      </w:pPr>
      <w:r>
        <w:rPr>
          <w:rFonts w:ascii="標楷體" w:eastAsia="標楷體" w:hAnsi="標楷體" w:cs="Arial"/>
          <w:sz w:val="28"/>
          <w:szCs w:val="28"/>
        </w:rPr>
        <w:t>依前二項規定申請緩繳貸款本金及延長償還貸款期限者，應提出稅捐稽徵機關開具之前一年度所得證明或戶籍所在地之地方政府開具之當年度低收入戶或中低收入戶證明及相關證明書（例如畢業證書、退伍證明等），向承貸銀行辦理。</w:t>
      </w:r>
    </w:p>
    <w:p w:rsidR="002C02D6" w:rsidRDefault="002C02D6" w:rsidP="002C02D6">
      <w:pPr>
        <w:pStyle w:val="Standard"/>
        <w:spacing w:line="500" w:lineRule="exact"/>
        <w:ind w:left="826" w:right="-72" w:firstLine="588"/>
        <w:jc w:val="both"/>
        <w:rPr>
          <w:rFonts w:ascii="標楷體" w:eastAsia="標楷體" w:hAnsi="標楷體" w:cs="Arial"/>
          <w:sz w:val="28"/>
          <w:szCs w:val="28"/>
        </w:rPr>
      </w:pPr>
    </w:p>
    <w:p w:rsidR="002C02D6" w:rsidRDefault="002C02D6" w:rsidP="002C02D6">
      <w:pPr>
        <w:pStyle w:val="Standard"/>
        <w:spacing w:line="500" w:lineRule="exact"/>
        <w:ind w:left="797" w:right="-72" w:firstLine="602"/>
        <w:jc w:val="both"/>
      </w:pPr>
      <w:r>
        <w:rPr>
          <w:rFonts w:ascii="標楷體" w:eastAsia="標楷體" w:hAnsi="標楷體" w:cs="Arial"/>
          <w:sz w:val="28"/>
          <w:szCs w:val="28"/>
        </w:rPr>
        <w:lastRenderedPageBreak/>
        <w:t>依本辦法第十一條第三項規定，發生經本部認定之重大災害者，學生及保證人得持尚在治療或復健中之醫療院所診斷證明書或其他證明文件向承貸銀行申請緩繳貸款本金，每次緩繳本金一年，並以三次為限，所申請之緩繳期間不得中斷，於緩繳次數屆滿前仍有緩繳需求，並經向承貸銀行專案申請核准者，其申請次數不在此限。緩繳期間之利息，由各級主管機關負擔。</w:t>
      </w:r>
    </w:p>
    <w:p w:rsidR="002C02D6" w:rsidRDefault="002C02D6" w:rsidP="002C02D6">
      <w:pPr>
        <w:pStyle w:val="Standard"/>
        <w:spacing w:line="500" w:lineRule="exact"/>
        <w:ind w:left="768" w:right="-72" w:firstLine="602"/>
        <w:jc w:val="both"/>
        <w:rPr>
          <w:rFonts w:ascii="標楷體" w:eastAsia="標楷體" w:hAnsi="標楷體" w:cs="Arial"/>
          <w:sz w:val="28"/>
          <w:szCs w:val="28"/>
        </w:rPr>
      </w:pPr>
      <w:r>
        <w:rPr>
          <w:rFonts w:ascii="標楷體" w:eastAsia="標楷體" w:hAnsi="標楷體" w:cs="Arial"/>
          <w:sz w:val="28"/>
          <w:szCs w:val="28"/>
        </w:rPr>
        <w:t>前項申請，學生如有逾期情事，未經財團法人中小企業信用保證基金代位清償者，得追溯辦理緩繳；已經財團法人中小企業信用保證基金代位清償者，承貸銀行得暫停催理，並以一年為原則。</w:t>
      </w:r>
    </w:p>
    <w:p w:rsidR="00695651" w:rsidRDefault="002C02D6" w:rsidP="002C02D6">
      <w:pPr>
        <w:ind w:firstLineChars="450" w:firstLine="1260"/>
      </w:pPr>
      <w:r>
        <w:rPr>
          <w:rFonts w:ascii="標楷體" w:eastAsia="標楷體" w:hAnsi="標楷體" w:cs="Arial"/>
          <w:sz w:val="28"/>
          <w:szCs w:val="28"/>
        </w:rPr>
        <w:t>第四項申請緩繳次數應與依第一項規定申請緩繳次數，分別計算。</w:t>
      </w:r>
    </w:p>
    <w:sectPr w:rsidR="00695651" w:rsidSect="002C02D6">
      <w:pgSz w:w="11906" w:h="16838"/>
      <w:pgMar w:top="851" w:right="1133" w:bottom="1440" w:left="1276"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841764"/>
    <w:multiLevelType w:val="multilevel"/>
    <w:tmpl w:val="070486EC"/>
    <w:styleLink w:val="WWNum5"/>
    <w:lvl w:ilvl="0">
      <w:start w:val="1"/>
      <w:numFmt w:val="japaneseCounting"/>
      <w:lvlText w:val="(%1)"/>
      <w:lvlJc w:val="left"/>
      <w:rPr>
        <w:rFonts w:ascii="標楷體" w:hAnsi="標楷體" w:cs="Arial"/>
        <w:sz w:val="28"/>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2D6"/>
    <w:rsid w:val="002C02D6"/>
    <w:rsid w:val="006956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2D6"/>
    <w:pPr>
      <w:widowControl w:val="0"/>
      <w:suppressAutoHyphens/>
      <w:autoSpaceDN w:val="0"/>
      <w:textAlignment w:val="baseline"/>
    </w:pPr>
    <w:rPr>
      <w:rFonts w:ascii="Calibri" w:eastAsia="新細明體" w:hAnsi="Calibri" w:cs="Tahoma"/>
      <w:kern w:val="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2C02D6"/>
    <w:pPr>
      <w:widowControl w:val="0"/>
      <w:suppressAutoHyphens/>
      <w:autoSpaceDN w:val="0"/>
      <w:textAlignment w:val="baseline"/>
    </w:pPr>
    <w:rPr>
      <w:rFonts w:ascii="Calibri" w:eastAsia="新細明體" w:hAnsi="Calibri" w:cs="Tahoma"/>
      <w:kern w:val="3"/>
    </w:rPr>
  </w:style>
  <w:style w:type="paragraph" w:styleId="a3">
    <w:name w:val="List Paragraph"/>
    <w:basedOn w:val="Standard"/>
    <w:rsid w:val="002C02D6"/>
    <w:pPr>
      <w:ind w:left="480"/>
    </w:pPr>
  </w:style>
  <w:style w:type="numbering" w:customStyle="1" w:styleId="WWNum5">
    <w:name w:val="WWNum5"/>
    <w:basedOn w:val="a2"/>
    <w:rsid w:val="002C02D6"/>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2D6"/>
    <w:pPr>
      <w:widowControl w:val="0"/>
      <w:suppressAutoHyphens/>
      <w:autoSpaceDN w:val="0"/>
      <w:textAlignment w:val="baseline"/>
    </w:pPr>
    <w:rPr>
      <w:rFonts w:ascii="Calibri" w:eastAsia="新細明體" w:hAnsi="Calibri" w:cs="Tahoma"/>
      <w:kern w:val="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2C02D6"/>
    <w:pPr>
      <w:widowControl w:val="0"/>
      <w:suppressAutoHyphens/>
      <w:autoSpaceDN w:val="0"/>
      <w:textAlignment w:val="baseline"/>
    </w:pPr>
    <w:rPr>
      <w:rFonts w:ascii="Calibri" w:eastAsia="新細明體" w:hAnsi="Calibri" w:cs="Tahoma"/>
      <w:kern w:val="3"/>
    </w:rPr>
  </w:style>
  <w:style w:type="paragraph" w:styleId="a3">
    <w:name w:val="List Paragraph"/>
    <w:basedOn w:val="Standard"/>
    <w:rsid w:val="002C02D6"/>
    <w:pPr>
      <w:ind w:left="480"/>
    </w:pPr>
  </w:style>
  <w:style w:type="numbering" w:customStyle="1" w:styleId="WWNum5">
    <w:name w:val="WWNum5"/>
    <w:basedOn w:val="a2"/>
    <w:rsid w:val="002C02D6"/>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144</Words>
  <Characters>822</Characters>
  <Application>Microsoft Office Word</Application>
  <DocSecurity>0</DocSecurity>
  <Lines>6</Lines>
  <Paragraphs>1</Paragraphs>
  <ScaleCrop>false</ScaleCrop>
  <Company/>
  <LinksUpToDate>false</LinksUpToDate>
  <CharactersWithSpaces>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2020-08-06T02:16:00Z</dcterms:created>
  <dcterms:modified xsi:type="dcterms:W3CDTF">2020-08-06T02:18:00Z</dcterms:modified>
</cp:coreProperties>
</file>