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47" w:rsidRPr="00116B47" w:rsidRDefault="00116B47" w:rsidP="00116B47">
      <w:pPr>
        <w:widowControl/>
        <w:shd w:val="clear" w:color="auto" w:fill="FFFFFF"/>
        <w:rPr>
          <w:rFonts w:ascii="細明體" w:eastAsia="細明體" w:hAnsi="細明體" w:cs="Helvetica"/>
          <w:b/>
          <w:bCs/>
          <w:color w:val="0000FF"/>
          <w:kern w:val="0"/>
          <w:szCs w:val="24"/>
        </w:rPr>
      </w:pPr>
    </w:p>
    <w:p w:rsidR="00116B47" w:rsidRPr="00116B47" w:rsidRDefault="00116B47" w:rsidP="00116B47">
      <w:pPr>
        <w:widowControl/>
        <w:shd w:val="clear" w:color="auto" w:fill="FFFFFF"/>
        <w:rPr>
          <w:rFonts w:ascii="細明體" w:eastAsia="細明體" w:hAnsi="細明體" w:cs="Helvetica" w:hint="eastAsia"/>
          <w:b/>
          <w:bCs/>
          <w:color w:val="0000FF"/>
          <w:kern w:val="0"/>
          <w:szCs w:val="24"/>
        </w:rPr>
      </w:pPr>
      <w:r w:rsidRPr="00116B47">
        <w:rPr>
          <w:rFonts w:ascii="細明體" w:eastAsia="細明體" w:hAnsi="細明體" w:cs="Helvetica" w:hint="eastAsia"/>
          <w:b/>
          <w:bCs/>
          <w:color w:val="0000FF"/>
          <w:kern w:val="0"/>
          <w:szCs w:val="24"/>
        </w:rPr>
        <w:t>公務人員撫卹法施行細則第25條、第32條、第34條修正重點：</w:t>
      </w:r>
    </w:p>
    <w:p w:rsidR="00116B47" w:rsidRPr="00116B47" w:rsidRDefault="00116B47" w:rsidP="00116B47">
      <w:pPr>
        <w:widowControl/>
        <w:shd w:val="clear" w:color="auto" w:fill="FFFFFF"/>
        <w:rPr>
          <w:rFonts w:ascii="細明體" w:eastAsia="細明體" w:hAnsi="細明體" w:cs="Helvetica" w:hint="eastAsia"/>
          <w:bCs/>
          <w:color w:val="000000" w:themeColor="text1"/>
          <w:kern w:val="0"/>
          <w:szCs w:val="24"/>
        </w:rPr>
      </w:pPr>
      <w:r w:rsidRPr="00116B47">
        <w:rPr>
          <w:rFonts w:ascii="細明體" w:eastAsia="細明體" w:hAnsi="細明體" w:cs="Helvetica" w:hint="eastAsia"/>
          <w:bCs/>
          <w:color w:val="000000" w:themeColor="text1"/>
          <w:kern w:val="0"/>
          <w:szCs w:val="24"/>
        </w:rPr>
        <w:t>一、配合公務人員撫卹法施行細則第25條修正，將銓敘部受理因公撫卹申請案件之審定流程，改採2階段方式辦理如下：</w:t>
      </w:r>
    </w:p>
    <w:p w:rsidR="00116B47" w:rsidRPr="00116B47" w:rsidRDefault="00116B47" w:rsidP="00116B47">
      <w:pPr>
        <w:widowControl/>
        <w:shd w:val="clear" w:color="auto" w:fill="FFFFFF"/>
        <w:rPr>
          <w:rFonts w:ascii="細明體" w:eastAsia="細明體" w:hAnsi="細明體" w:cs="Helvetica" w:hint="eastAsia"/>
          <w:bCs/>
          <w:color w:val="000000" w:themeColor="text1"/>
          <w:kern w:val="0"/>
          <w:szCs w:val="24"/>
        </w:rPr>
      </w:pPr>
      <w:r w:rsidRPr="00116B47">
        <w:rPr>
          <w:rFonts w:ascii="細明體" w:eastAsia="細明體" w:hAnsi="細明體" w:cs="Helvetica" w:hint="eastAsia"/>
          <w:bCs/>
          <w:color w:val="000000" w:themeColor="text1"/>
          <w:kern w:val="0"/>
          <w:szCs w:val="24"/>
        </w:rPr>
        <w:t>(一)第1階段：係先按病故或意外給卹標準，由支給機關或服務機關核給撫卹金。</w:t>
      </w:r>
    </w:p>
    <w:p w:rsidR="00116B47" w:rsidRPr="00116B47" w:rsidRDefault="00116B47" w:rsidP="00116B47">
      <w:pPr>
        <w:widowControl/>
        <w:shd w:val="clear" w:color="auto" w:fill="FFFFFF"/>
        <w:rPr>
          <w:rFonts w:ascii="細明體" w:eastAsia="細明體" w:hAnsi="細明體" w:cs="Helvetica" w:hint="eastAsia"/>
          <w:bCs/>
          <w:color w:val="000000" w:themeColor="text1"/>
          <w:kern w:val="0"/>
          <w:szCs w:val="24"/>
        </w:rPr>
      </w:pPr>
      <w:r w:rsidRPr="00116B47">
        <w:rPr>
          <w:rFonts w:ascii="細明體" w:eastAsia="細明體" w:hAnsi="細明體" w:cs="Helvetica" w:hint="eastAsia"/>
          <w:bCs/>
          <w:color w:val="000000" w:themeColor="text1"/>
          <w:kern w:val="0"/>
          <w:szCs w:val="24"/>
        </w:rPr>
        <w:t>(二)第2階段：俟銓敘部依規定完成相關審查作業後，再據以辦理最終審定事宜，並補發撫卹金或函知遺族維持原處分等事宜。</w:t>
      </w:r>
    </w:p>
    <w:p w:rsidR="00116B47" w:rsidRPr="00116B47" w:rsidRDefault="00116B47" w:rsidP="00116B47">
      <w:pPr>
        <w:widowControl/>
        <w:shd w:val="clear" w:color="auto" w:fill="FFFFFF"/>
        <w:rPr>
          <w:rFonts w:ascii="細明體" w:eastAsia="細明體" w:hAnsi="細明體" w:cs="Helvetica" w:hint="eastAsia"/>
          <w:bCs/>
          <w:color w:val="000000" w:themeColor="text1"/>
          <w:kern w:val="0"/>
          <w:szCs w:val="24"/>
        </w:rPr>
      </w:pPr>
      <w:r w:rsidRPr="00116B47">
        <w:rPr>
          <w:rFonts w:ascii="細明體" w:eastAsia="細明體" w:hAnsi="細明體" w:cs="Helvetica" w:hint="eastAsia"/>
          <w:bCs/>
          <w:color w:val="000000" w:themeColor="text1"/>
          <w:kern w:val="0"/>
          <w:szCs w:val="24"/>
        </w:rPr>
        <w:t>二、上開修正目的，係希冀改善「現行因公撫卹案件須耗時查證，致延宕遺族撫卹金發給」之缺失，俾收及時照護遺族之目的。但為避免遺族將第1階段核發撫卹金作業，誤認為最終審定結果而引起爭議，爰通函各機關於辦理是類案件時，請適時向遺族妥為說明；又如擬提起救濟，亦請俟銓敘部做出第2階段處分時，再行為之，以利是項新措施之實施。</w:t>
      </w:r>
    </w:p>
    <w:p w:rsidR="00116B47" w:rsidRPr="00116B47" w:rsidRDefault="00116B47" w:rsidP="00AD716B">
      <w:pPr>
        <w:widowControl/>
        <w:shd w:val="clear" w:color="auto" w:fill="FFFFFF"/>
        <w:rPr>
          <w:rFonts w:ascii="細明體" w:eastAsia="細明體" w:hAnsi="細明體" w:cs="Helvetica"/>
          <w:b/>
          <w:bCs/>
          <w:color w:val="0000FF"/>
          <w:kern w:val="0"/>
          <w:szCs w:val="24"/>
        </w:rPr>
      </w:pPr>
      <w:bookmarkStart w:id="0" w:name="_GoBack"/>
      <w:bookmarkEnd w:id="0"/>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b/>
          <w:bCs/>
          <w:color w:val="0000FF"/>
          <w:kern w:val="0"/>
          <w:szCs w:val="24"/>
        </w:rPr>
        <w:t>公務人員退休法第21條、第23條及第24條之1修正重點：（</w:t>
      </w:r>
      <w:r w:rsidRPr="00AD716B">
        <w:rPr>
          <w:rFonts w:ascii="Calibri" w:eastAsia="細明體" w:hAnsi="Calibri" w:cs="Helvetica"/>
          <w:color w:val="000000"/>
          <w:kern w:val="0"/>
          <w:szCs w:val="24"/>
        </w:rPr>
        <w:t>105</w:t>
      </w:r>
      <w:r w:rsidRPr="00AD716B">
        <w:rPr>
          <w:rFonts w:ascii="新細明體" w:eastAsia="新細明體" w:hAnsi="新細明體" w:cs="Helvetica" w:hint="eastAsia"/>
          <w:color w:val="000000"/>
          <w:kern w:val="0"/>
          <w:szCs w:val="24"/>
        </w:rPr>
        <w:t>年</w:t>
      </w:r>
      <w:r w:rsidRPr="00AD716B">
        <w:rPr>
          <w:rFonts w:ascii="Calibri" w:eastAsia="細明體" w:hAnsi="Calibri" w:cs="Helvetica"/>
          <w:color w:val="000000"/>
          <w:kern w:val="0"/>
          <w:szCs w:val="24"/>
        </w:rPr>
        <w:t>5</w:t>
      </w:r>
      <w:r w:rsidRPr="00AD716B">
        <w:rPr>
          <w:rFonts w:ascii="新細明體" w:eastAsia="新細明體" w:hAnsi="新細明體" w:cs="Helvetica" w:hint="eastAsia"/>
          <w:color w:val="000000"/>
          <w:kern w:val="0"/>
          <w:szCs w:val="24"/>
        </w:rPr>
        <w:t>月</w:t>
      </w:r>
      <w:r w:rsidRPr="00AD716B">
        <w:rPr>
          <w:rFonts w:ascii="Calibri" w:eastAsia="細明體" w:hAnsi="Calibri" w:cs="Helvetica"/>
          <w:color w:val="000000"/>
          <w:kern w:val="0"/>
          <w:szCs w:val="24"/>
        </w:rPr>
        <w:t>13</w:t>
      </w:r>
      <w:r w:rsidRPr="00AD716B">
        <w:rPr>
          <w:rFonts w:ascii="新細明體" w:eastAsia="新細明體" w:hAnsi="新細明體" w:cs="Helvetica" w:hint="eastAsia"/>
          <w:color w:val="000000"/>
          <w:kern w:val="0"/>
          <w:szCs w:val="24"/>
        </w:rPr>
        <w:t>日生效</w:t>
      </w:r>
      <w:r w:rsidRPr="00AD716B">
        <w:rPr>
          <w:rFonts w:ascii="細明體" w:eastAsia="細明體" w:hAnsi="細明體" w:cs="Helvetica" w:hint="eastAsia"/>
          <w:b/>
          <w:bCs/>
          <w:color w:val="0000FF"/>
          <w:kern w:val="0"/>
          <w:szCs w:val="24"/>
        </w:rPr>
        <w:t>）</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(一)增訂「依公務員懲戒法規定移送懲戒或送請監察院審查中」者，其申請退休或資遣案，應不予受理。（第21條）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(二)</w:t>
      </w:r>
      <w:r w:rsidRPr="00AD716B">
        <w:rPr>
          <w:rFonts w:ascii="細明體" w:eastAsia="細明體" w:hAnsi="細明體" w:cs="Helvetica" w:hint="eastAsia"/>
          <w:color w:val="FF0000"/>
          <w:kern w:val="0"/>
          <w:szCs w:val="24"/>
        </w:rPr>
        <w:t>增訂犯貪污治罪條例或刑法瀆職罪章之罪者，經判刑確定而入監服刑期間，應停止領受月退休金、月撫慰金及辦理優惠存款之權利。（第23條）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(三)</w:t>
      </w:r>
      <w:r w:rsidRPr="00AD716B">
        <w:rPr>
          <w:rFonts w:ascii="細明體" w:eastAsia="細明體" w:hAnsi="細明體" w:cs="Helvetica" w:hint="eastAsia"/>
          <w:color w:val="FF0000"/>
          <w:kern w:val="0"/>
          <w:szCs w:val="24"/>
        </w:rPr>
        <w:t>修正再任由政府編列預算支給俸(薪)給、待遇或公費之機關(構)團體之職務且每月支領薪酬總額超過法定基本工資者（按：目前為20,008元），應停止領受月退休金之權利（按：原僅限專任職務，無金額限制）。本條文修正施行前已再任上述職務且每月薪酬總額超過法定基本工資者，給與3個月緩衝期，期滿後必須依新修正規定辦理。（第23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(四)增訂公務人員在職期間涉犯貪污治罪條例或刑法瀆職罪章之罪，於退休、資遣或離職後始經判刑確定者，應剝奪或減少退離給與；已支領者，並應追繳。（第24條之1）</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 </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b/>
          <w:bCs/>
          <w:color w:val="0000FF"/>
          <w:kern w:val="0"/>
          <w:szCs w:val="24"/>
        </w:rPr>
        <w:t> </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b/>
          <w:bCs/>
          <w:color w:val="0000FF"/>
          <w:kern w:val="0"/>
          <w:szCs w:val="24"/>
        </w:rPr>
        <w:t>公務人員退休法施行細則修正重點：</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(一)配合母法，將「殘廢」用語修正為「失能」，另配合公教人員保險法，將「公教人員保險殘廢給付標準表」修正為「公教人員保險殘廢給付標準」。（第7條及第18條）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(二)增訂公務人員所涉違法或失職行為已符相關法律所定應予免職、撤職或免除職務條件而其權責機關無法逕予免職、撤職或免除職務者，不得併同申請發給政府撥繳之退撫基金費用本息。（第19條）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(三)增訂再任或轉任人員重行退休年資滿15年以上者，其擇領或兼領月退休金，仍須照其重行退休原因，分別適用母法第10條至第12條所定月退休金起支條件。（第21條）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四)增訂曾支領政府編列預算支付退休（職、伍）金、資遣給與、離（免）職退費或年資結算給與者，其已領上述給與之年資，應與重行退休審定年資合併計算，再依母法第30條第2項及第3項規定，核給該二項補償金。（第22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(五)增訂資遣人員不願配合填寫資遣事實表並檢證申請審定年資及給與者，得由服務機關代為辦理之相關規定，並修正資遣事實表格式，以利執行。（第27條）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六)配合身心障礙者權益保障法規定，刪除「殘障」文字，並明定亡故退休人員之配偶及已成年子女申請月撫慰金時，應檢具「亡故前一年度」年終所得申報資料，證明其平均每月所得未超過「亡故當年度」法定基本工資之認定基準。（第36條）</w:t>
      </w:r>
    </w:p>
    <w:p w:rsidR="00AD716B" w:rsidRPr="00AD716B" w:rsidRDefault="00AD716B" w:rsidP="00AD716B">
      <w:pPr>
        <w:widowControl/>
        <w:shd w:val="clear" w:color="auto" w:fill="FFFFFF"/>
        <w:rPr>
          <w:rFonts w:ascii="Helvetica" w:eastAsia="標楷體" w:hAnsi="Helvetica" w:cs="Helvetica"/>
          <w:color w:val="000000"/>
          <w:kern w:val="0"/>
          <w:szCs w:val="24"/>
        </w:rPr>
      </w:pPr>
      <w:r w:rsidRPr="00AD716B">
        <w:rPr>
          <w:rFonts w:ascii="細明體" w:eastAsia="細明體" w:hAnsi="細明體" w:cs="Helvetica" w:hint="eastAsia"/>
          <w:color w:val="000000"/>
          <w:kern w:val="0"/>
          <w:szCs w:val="24"/>
        </w:rPr>
        <w:t> </w:t>
      </w:r>
    </w:p>
    <w:sectPr w:rsidR="00AD716B" w:rsidRPr="00AD716B" w:rsidSect="00AD71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6B"/>
    <w:rsid w:val="00116B47"/>
    <w:rsid w:val="007E0466"/>
    <w:rsid w:val="00AD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0863A-0388-4B41-940E-21656F1A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7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93813">
      <w:bodyDiv w:val="1"/>
      <w:marLeft w:val="180"/>
      <w:marRight w:val="180"/>
      <w:marTop w:val="180"/>
      <w:marBottom w:val="0"/>
      <w:divBdr>
        <w:top w:val="none" w:sz="0" w:space="0" w:color="auto"/>
        <w:left w:val="none" w:sz="0" w:space="0" w:color="auto"/>
        <w:bottom w:val="none" w:sz="0" w:space="0" w:color="auto"/>
        <w:right w:val="none" w:sz="0" w:space="0" w:color="auto"/>
      </w:divBdr>
      <w:divsChild>
        <w:div w:id="1006785733">
          <w:marLeft w:val="0"/>
          <w:marRight w:val="0"/>
          <w:marTop w:val="0"/>
          <w:marBottom w:val="0"/>
          <w:divBdr>
            <w:top w:val="none" w:sz="0" w:space="0" w:color="auto"/>
            <w:left w:val="none" w:sz="0" w:space="0" w:color="auto"/>
            <w:bottom w:val="none" w:sz="0" w:space="0" w:color="auto"/>
            <w:right w:val="none" w:sz="0" w:space="0" w:color="auto"/>
          </w:divBdr>
          <w:divsChild>
            <w:div w:id="1880628998">
              <w:marLeft w:val="0"/>
              <w:marRight w:val="0"/>
              <w:marTop w:val="0"/>
              <w:marBottom w:val="0"/>
              <w:divBdr>
                <w:top w:val="none" w:sz="0" w:space="0" w:color="auto"/>
                <w:left w:val="none" w:sz="0" w:space="0" w:color="auto"/>
                <w:bottom w:val="none" w:sz="0" w:space="0" w:color="auto"/>
                <w:right w:val="none" w:sz="0" w:space="0" w:color="auto"/>
              </w:divBdr>
              <w:divsChild>
                <w:div w:id="136344190">
                  <w:marLeft w:val="0"/>
                  <w:marRight w:val="0"/>
                  <w:marTop w:val="0"/>
                  <w:marBottom w:val="0"/>
                  <w:divBdr>
                    <w:top w:val="none" w:sz="0" w:space="0" w:color="auto"/>
                    <w:left w:val="none" w:sz="0" w:space="0" w:color="auto"/>
                    <w:bottom w:val="none" w:sz="0" w:space="0" w:color="auto"/>
                    <w:right w:val="none" w:sz="0" w:space="0" w:color="auto"/>
                  </w:divBdr>
                  <w:divsChild>
                    <w:div w:id="1022559376">
                      <w:marLeft w:val="0"/>
                      <w:marRight w:val="0"/>
                      <w:marTop w:val="0"/>
                      <w:marBottom w:val="0"/>
                      <w:divBdr>
                        <w:top w:val="none" w:sz="0" w:space="0" w:color="auto"/>
                        <w:left w:val="none" w:sz="0" w:space="0" w:color="auto"/>
                        <w:bottom w:val="none" w:sz="0" w:space="0" w:color="auto"/>
                        <w:right w:val="none" w:sz="0" w:space="0" w:color="auto"/>
                      </w:divBdr>
                      <w:divsChild>
                        <w:div w:id="1065033248">
                          <w:marLeft w:val="0"/>
                          <w:marRight w:val="0"/>
                          <w:marTop w:val="0"/>
                          <w:marBottom w:val="0"/>
                          <w:divBdr>
                            <w:top w:val="none" w:sz="0" w:space="0" w:color="auto"/>
                            <w:left w:val="none" w:sz="0" w:space="0" w:color="auto"/>
                            <w:bottom w:val="none" w:sz="0" w:space="0" w:color="auto"/>
                            <w:right w:val="none" w:sz="0" w:space="0" w:color="auto"/>
                          </w:divBdr>
                          <w:divsChild>
                            <w:div w:id="1128088068">
                              <w:marLeft w:val="0"/>
                              <w:marRight w:val="0"/>
                              <w:marTop w:val="0"/>
                              <w:marBottom w:val="0"/>
                              <w:divBdr>
                                <w:top w:val="none" w:sz="0" w:space="0" w:color="auto"/>
                                <w:left w:val="none" w:sz="0" w:space="0" w:color="auto"/>
                                <w:bottom w:val="none" w:sz="0" w:space="0" w:color="auto"/>
                                <w:right w:val="none" w:sz="0" w:space="0" w:color="auto"/>
                              </w:divBdr>
                              <w:divsChild>
                                <w:div w:id="359429483">
                                  <w:marLeft w:val="0"/>
                                  <w:marRight w:val="0"/>
                                  <w:marTop w:val="0"/>
                                  <w:marBottom w:val="0"/>
                                  <w:divBdr>
                                    <w:top w:val="none" w:sz="0" w:space="0" w:color="auto"/>
                                    <w:left w:val="none" w:sz="0" w:space="0" w:color="auto"/>
                                    <w:bottom w:val="none" w:sz="0" w:space="0" w:color="auto"/>
                                    <w:right w:val="none" w:sz="0" w:space="0" w:color="auto"/>
                                  </w:divBdr>
                                  <w:divsChild>
                                    <w:div w:id="363871695">
                                      <w:marLeft w:val="0"/>
                                      <w:marRight w:val="0"/>
                                      <w:marTop w:val="0"/>
                                      <w:marBottom w:val="0"/>
                                      <w:divBdr>
                                        <w:top w:val="none" w:sz="0" w:space="0" w:color="auto"/>
                                        <w:left w:val="none" w:sz="0" w:space="0" w:color="auto"/>
                                        <w:bottom w:val="none" w:sz="0" w:space="0" w:color="auto"/>
                                        <w:right w:val="none" w:sz="0" w:space="0" w:color="auto"/>
                                      </w:divBdr>
                                    </w:div>
                                    <w:div w:id="1520850216">
                                      <w:marLeft w:val="480"/>
                                      <w:marRight w:val="0"/>
                                      <w:marTop w:val="0"/>
                                      <w:marBottom w:val="0"/>
                                      <w:divBdr>
                                        <w:top w:val="none" w:sz="0" w:space="0" w:color="auto"/>
                                        <w:left w:val="none" w:sz="0" w:space="0" w:color="auto"/>
                                        <w:bottom w:val="none" w:sz="0" w:space="0" w:color="auto"/>
                                        <w:right w:val="none" w:sz="0" w:space="0" w:color="auto"/>
                                      </w:divBdr>
                                    </w:div>
                                    <w:div w:id="62918934">
                                      <w:marLeft w:val="480"/>
                                      <w:marRight w:val="0"/>
                                      <w:marTop w:val="0"/>
                                      <w:marBottom w:val="0"/>
                                      <w:divBdr>
                                        <w:top w:val="none" w:sz="0" w:space="0" w:color="auto"/>
                                        <w:left w:val="none" w:sz="0" w:space="0" w:color="auto"/>
                                        <w:bottom w:val="none" w:sz="0" w:space="0" w:color="auto"/>
                                        <w:right w:val="none" w:sz="0" w:space="0" w:color="auto"/>
                                      </w:divBdr>
                                    </w:div>
                                    <w:div w:id="2042364298">
                                      <w:marLeft w:val="480"/>
                                      <w:marRight w:val="0"/>
                                      <w:marTop w:val="0"/>
                                      <w:marBottom w:val="0"/>
                                      <w:divBdr>
                                        <w:top w:val="none" w:sz="0" w:space="0" w:color="auto"/>
                                        <w:left w:val="none" w:sz="0" w:space="0" w:color="auto"/>
                                        <w:bottom w:val="none" w:sz="0" w:space="0" w:color="auto"/>
                                        <w:right w:val="none" w:sz="0" w:space="0" w:color="auto"/>
                                      </w:divBdr>
                                    </w:div>
                                    <w:div w:id="369232059">
                                      <w:marLeft w:val="480"/>
                                      <w:marRight w:val="0"/>
                                      <w:marTop w:val="0"/>
                                      <w:marBottom w:val="0"/>
                                      <w:divBdr>
                                        <w:top w:val="none" w:sz="0" w:space="0" w:color="auto"/>
                                        <w:left w:val="none" w:sz="0" w:space="0" w:color="auto"/>
                                        <w:bottom w:val="none" w:sz="0" w:space="0" w:color="auto"/>
                                        <w:right w:val="none" w:sz="0" w:space="0" w:color="auto"/>
                                      </w:divBdr>
                                    </w:div>
                                    <w:div w:id="1903634640">
                                      <w:marLeft w:val="0"/>
                                      <w:marRight w:val="0"/>
                                      <w:marTop w:val="0"/>
                                      <w:marBottom w:val="0"/>
                                      <w:divBdr>
                                        <w:top w:val="none" w:sz="0" w:space="0" w:color="auto"/>
                                        <w:left w:val="none" w:sz="0" w:space="0" w:color="auto"/>
                                        <w:bottom w:val="none" w:sz="0" w:space="0" w:color="auto"/>
                                        <w:right w:val="none" w:sz="0" w:space="0" w:color="auto"/>
                                      </w:divBdr>
                                    </w:div>
                                    <w:div w:id="1276861598">
                                      <w:marLeft w:val="0"/>
                                      <w:marRight w:val="0"/>
                                      <w:marTop w:val="0"/>
                                      <w:marBottom w:val="0"/>
                                      <w:divBdr>
                                        <w:top w:val="none" w:sz="0" w:space="0" w:color="auto"/>
                                        <w:left w:val="none" w:sz="0" w:space="0" w:color="auto"/>
                                        <w:bottom w:val="none" w:sz="0" w:space="0" w:color="auto"/>
                                        <w:right w:val="none" w:sz="0" w:space="0" w:color="auto"/>
                                      </w:divBdr>
                                    </w:div>
                                    <w:div w:id="1068460112">
                                      <w:marLeft w:val="0"/>
                                      <w:marRight w:val="0"/>
                                      <w:marTop w:val="0"/>
                                      <w:marBottom w:val="0"/>
                                      <w:divBdr>
                                        <w:top w:val="none" w:sz="0" w:space="0" w:color="auto"/>
                                        <w:left w:val="none" w:sz="0" w:space="0" w:color="auto"/>
                                        <w:bottom w:val="none" w:sz="0" w:space="0" w:color="auto"/>
                                        <w:right w:val="none" w:sz="0" w:space="0" w:color="auto"/>
                                      </w:divBdr>
                                    </w:div>
                                    <w:div w:id="1586645123">
                                      <w:marLeft w:val="480"/>
                                      <w:marRight w:val="0"/>
                                      <w:marTop w:val="0"/>
                                      <w:marBottom w:val="0"/>
                                      <w:divBdr>
                                        <w:top w:val="none" w:sz="0" w:space="0" w:color="auto"/>
                                        <w:left w:val="none" w:sz="0" w:space="0" w:color="auto"/>
                                        <w:bottom w:val="none" w:sz="0" w:space="0" w:color="auto"/>
                                        <w:right w:val="none" w:sz="0" w:space="0" w:color="auto"/>
                                      </w:divBdr>
                                    </w:div>
                                    <w:div w:id="1625647524">
                                      <w:marLeft w:val="480"/>
                                      <w:marRight w:val="0"/>
                                      <w:marTop w:val="0"/>
                                      <w:marBottom w:val="0"/>
                                      <w:divBdr>
                                        <w:top w:val="none" w:sz="0" w:space="0" w:color="auto"/>
                                        <w:left w:val="none" w:sz="0" w:space="0" w:color="auto"/>
                                        <w:bottom w:val="none" w:sz="0" w:space="0" w:color="auto"/>
                                        <w:right w:val="none" w:sz="0" w:space="0" w:color="auto"/>
                                      </w:divBdr>
                                    </w:div>
                                    <w:div w:id="1737436558">
                                      <w:marLeft w:val="480"/>
                                      <w:marRight w:val="0"/>
                                      <w:marTop w:val="0"/>
                                      <w:marBottom w:val="0"/>
                                      <w:divBdr>
                                        <w:top w:val="none" w:sz="0" w:space="0" w:color="auto"/>
                                        <w:left w:val="none" w:sz="0" w:space="0" w:color="auto"/>
                                        <w:bottom w:val="none" w:sz="0" w:space="0" w:color="auto"/>
                                        <w:right w:val="none" w:sz="0" w:space="0" w:color="auto"/>
                                      </w:divBdr>
                                    </w:div>
                                    <w:div w:id="836650033">
                                      <w:marLeft w:val="480"/>
                                      <w:marRight w:val="0"/>
                                      <w:marTop w:val="0"/>
                                      <w:marBottom w:val="0"/>
                                      <w:divBdr>
                                        <w:top w:val="none" w:sz="0" w:space="0" w:color="auto"/>
                                        <w:left w:val="none" w:sz="0" w:space="0" w:color="auto"/>
                                        <w:bottom w:val="none" w:sz="0" w:space="0" w:color="auto"/>
                                        <w:right w:val="none" w:sz="0" w:space="0" w:color="auto"/>
                                      </w:divBdr>
                                    </w:div>
                                    <w:div w:id="503906465">
                                      <w:marLeft w:val="480"/>
                                      <w:marRight w:val="0"/>
                                      <w:marTop w:val="0"/>
                                      <w:marBottom w:val="0"/>
                                      <w:divBdr>
                                        <w:top w:val="none" w:sz="0" w:space="0" w:color="auto"/>
                                        <w:left w:val="none" w:sz="0" w:space="0" w:color="auto"/>
                                        <w:bottom w:val="none" w:sz="0" w:space="0" w:color="auto"/>
                                        <w:right w:val="none" w:sz="0" w:space="0" w:color="auto"/>
                                      </w:divBdr>
                                    </w:div>
                                    <w:div w:id="812721729">
                                      <w:marLeft w:val="480"/>
                                      <w:marRight w:val="0"/>
                                      <w:marTop w:val="0"/>
                                      <w:marBottom w:val="0"/>
                                      <w:divBdr>
                                        <w:top w:val="none" w:sz="0" w:space="0" w:color="auto"/>
                                        <w:left w:val="none" w:sz="0" w:space="0" w:color="auto"/>
                                        <w:bottom w:val="none" w:sz="0" w:space="0" w:color="auto"/>
                                        <w:right w:val="none" w:sz="0" w:space="0" w:color="auto"/>
                                      </w:divBdr>
                                    </w:div>
                                    <w:div w:id="763919791">
                                      <w:marLeft w:val="0"/>
                                      <w:marRight w:val="0"/>
                                      <w:marTop w:val="0"/>
                                      <w:marBottom w:val="0"/>
                                      <w:divBdr>
                                        <w:top w:val="none" w:sz="0" w:space="0" w:color="auto"/>
                                        <w:left w:val="none" w:sz="0" w:space="0" w:color="auto"/>
                                        <w:bottom w:val="none" w:sz="0" w:space="0" w:color="auto"/>
                                        <w:right w:val="none" w:sz="0" w:space="0" w:color="auto"/>
                                      </w:divBdr>
                                    </w:div>
                                    <w:div w:id="1397968872">
                                      <w:marLeft w:val="0"/>
                                      <w:marRight w:val="0"/>
                                      <w:marTop w:val="0"/>
                                      <w:marBottom w:val="0"/>
                                      <w:divBdr>
                                        <w:top w:val="none" w:sz="0" w:space="0" w:color="auto"/>
                                        <w:left w:val="none" w:sz="0" w:space="0" w:color="auto"/>
                                        <w:bottom w:val="none" w:sz="0" w:space="0" w:color="auto"/>
                                        <w:right w:val="none" w:sz="0" w:space="0" w:color="auto"/>
                                      </w:divBdr>
                                    </w:div>
                                    <w:div w:id="105124895">
                                      <w:marLeft w:val="0"/>
                                      <w:marRight w:val="0"/>
                                      <w:marTop w:val="0"/>
                                      <w:marBottom w:val="0"/>
                                      <w:divBdr>
                                        <w:top w:val="none" w:sz="0" w:space="0" w:color="auto"/>
                                        <w:left w:val="none" w:sz="0" w:space="0" w:color="auto"/>
                                        <w:bottom w:val="none" w:sz="0" w:space="0" w:color="auto"/>
                                        <w:right w:val="none" w:sz="0" w:space="0" w:color="auto"/>
                                      </w:divBdr>
                                    </w:div>
                                    <w:div w:id="1995257487">
                                      <w:marLeft w:val="480"/>
                                      <w:marRight w:val="0"/>
                                      <w:marTop w:val="0"/>
                                      <w:marBottom w:val="0"/>
                                      <w:divBdr>
                                        <w:top w:val="none" w:sz="0" w:space="0" w:color="auto"/>
                                        <w:left w:val="none" w:sz="0" w:space="0" w:color="auto"/>
                                        <w:bottom w:val="none" w:sz="0" w:space="0" w:color="auto"/>
                                        <w:right w:val="none" w:sz="0" w:space="0" w:color="auto"/>
                                      </w:divBdr>
                                    </w:div>
                                    <w:div w:id="905871090">
                                      <w:marLeft w:val="480"/>
                                      <w:marRight w:val="0"/>
                                      <w:marTop w:val="0"/>
                                      <w:marBottom w:val="0"/>
                                      <w:divBdr>
                                        <w:top w:val="none" w:sz="0" w:space="0" w:color="auto"/>
                                        <w:left w:val="none" w:sz="0" w:space="0" w:color="auto"/>
                                        <w:bottom w:val="none" w:sz="0" w:space="0" w:color="auto"/>
                                        <w:right w:val="none" w:sz="0" w:space="0" w:color="auto"/>
                                      </w:divBdr>
                                    </w:div>
                                    <w:div w:id="880822564">
                                      <w:marLeft w:val="480"/>
                                      <w:marRight w:val="0"/>
                                      <w:marTop w:val="0"/>
                                      <w:marBottom w:val="0"/>
                                      <w:divBdr>
                                        <w:top w:val="none" w:sz="0" w:space="0" w:color="auto"/>
                                        <w:left w:val="none" w:sz="0" w:space="0" w:color="auto"/>
                                        <w:bottom w:val="none" w:sz="0" w:space="0" w:color="auto"/>
                                        <w:right w:val="none" w:sz="0" w:space="0" w:color="auto"/>
                                      </w:divBdr>
                                    </w:div>
                                    <w:div w:id="21295438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1116</Characters>
  <Application>Microsoft Office Word</Application>
  <DocSecurity>0</DocSecurity>
  <Lines>9</Lines>
  <Paragraphs>2</Paragraphs>
  <ScaleCrop>false</ScaleCrop>
  <Company>景美女中</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cmgsh</dc:creator>
  <cp:keywords/>
  <dc:description/>
  <cp:lastModifiedBy>cmgsh</cp:lastModifiedBy>
  <cp:revision>3</cp:revision>
  <dcterms:created xsi:type="dcterms:W3CDTF">2016-05-24T09:08:00Z</dcterms:created>
  <dcterms:modified xsi:type="dcterms:W3CDTF">2016-08-31T03:02:00Z</dcterms:modified>
</cp:coreProperties>
</file>